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44"/>
      </w:tblGrid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27"/>
                <w:szCs w:val="27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27"/>
              </w:rPr>
              <w:t>Отчет о финансовых результатах деятельности (ф. 0503721)</w:t>
            </w:r>
          </w:p>
        </w:tc>
      </w:tr>
    </w:tbl>
    <w:p w:rsidR="00E50724" w:rsidRPr="00E50724" w:rsidRDefault="00E50724" w:rsidP="00E50724">
      <w:pPr>
        <w:rPr>
          <w:rFonts w:ascii="Times New Roman" w:hAnsi="Times New Roman"/>
          <w:sz w:val="24"/>
          <w:szCs w:val="24"/>
        </w:rPr>
      </w:pPr>
    </w:p>
    <w:tbl>
      <w:tblPr>
        <w:tblW w:w="13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2"/>
        <w:gridCol w:w="10033"/>
      </w:tblGrid>
      <w:tr w:rsidR="00E50724" w:rsidRPr="00E50724" w:rsidTr="00E50724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Дата формирования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21.03.2023</w:t>
            </w:r>
          </w:p>
        </w:tc>
      </w:tr>
      <w:tr w:rsidR="00E50724" w:rsidRPr="00E50724" w:rsidTr="00E50724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Дата утверждения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16.03.2023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473У0348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5190408309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519001001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2022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ИНН 5190408309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КПП 519001001</w:t>
            </w:r>
          </w:p>
        </w:tc>
      </w:tr>
    </w:tbl>
    <w:p w:rsidR="00E50724" w:rsidRPr="00E50724" w:rsidRDefault="00E50724" w:rsidP="00E5072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6"/>
        <w:gridCol w:w="3238"/>
        <w:gridCol w:w="1500"/>
        <w:gridCol w:w="1230"/>
      </w:tblGrid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0503721</w:t>
            </w:r>
          </w:p>
        </w:tc>
      </w:tr>
      <w:tr w:rsidR="00E50724" w:rsidRPr="00E50724" w:rsidTr="00E50724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 21 </w:t>
            </w:r>
            <w:r w:rsidRPr="00E50724">
              <w:rPr>
                <w:rFonts w:ascii="inherit" w:hAnsi="inherit" w:cs="Arial"/>
                <w:color w:val="4A4A4A"/>
                <w:sz w:val="18"/>
              </w:rPr>
              <w:t>марта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 20</w:t>
            </w:r>
            <w:r w:rsidRPr="00E50724">
              <w:rPr>
                <w:rFonts w:ascii="inherit" w:hAnsi="inherit" w:cs="Arial"/>
                <w:color w:val="4A4A4A"/>
                <w:sz w:val="18"/>
              </w:rPr>
              <w:t>23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Дата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21.03.2023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51696948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5190408309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47701000</w:t>
            </w:r>
          </w:p>
        </w:tc>
      </w:tr>
      <w:tr w:rsidR="00E50724" w:rsidRPr="00E50724" w:rsidTr="00E5072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КОМИТЕТ ПО ОБРАЗОВАНИЮ АДМИНИСТРАЦИИ ГОРОДА МУРМАНСКА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02111198</w:t>
            </w:r>
          </w:p>
        </w:tc>
      </w:tr>
      <w:tr w:rsidR="00E50724" w:rsidRPr="00E50724" w:rsidTr="00E507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5190103106</w:t>
            </w:r>
          </w:p>
        </w:tc>
      </w:tr>
      <w:tr w:rsidR="00E50724" w:rsidRPr="00E50724" w:rsidTr="00E50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50724" w:rsidRPr="00E50724" w:rsidTr="00E50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50724" w:rsidRPr="00E50724" w:rsidTr="00E50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E50724" w:rsidRPr="00E50724" w:rsidRDefault="00E50724" w:rsidP="00E5072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8"/>
        <w:gridCol w:w="561"/>
        <w:gridCol w:w="830"/>
        <w:gridCol w:w="1214"/>
        <w:gridCol w:w="1486"/>
        <w:gridCol w:w="1190"/>
        <w:gridCol w:w="671"/>
      </w:tblGrid>
      <w:tr w:rsidR="00E50724" w:rsidRPr="00E50724" w:rsidTr="00E50724">
        <w:trPr>
          <w:tblHeader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Код аналитики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</w:tr>
      <w:tr w:rsidR="00E50724" w:rsidRPr="00E50724" w:rsidTr="00E50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proofErr w:type="gramStart"/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Доходы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5 025 858,33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55 610 214,44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1 114 290,59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61 750 363,36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55 503 406,45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864 898,16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56 368 304,61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proofErr w:type="gram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Доходы от оказания платных услуг (работ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55 503 406,45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717 250,00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56 220 656,45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Доходы по </w:t>
            </w:r>
            <w:proofErr w:type="gram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условным</w:t>
            </w:r>
            <w:proofErr w:type="gram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арендным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плтежам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147 648,16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147 648,16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5 025 858,33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5 026 175,16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5 025 858,33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5 025 858,33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Поступления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екущего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316,83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22 408,32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22 408,32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22 408,32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22 408,32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Безвозмездные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неденежные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84 399,67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249 075,60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333 475,27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Безвозмездные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неденежные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поступления текущего характера от сектора государственного управления и организаций 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75 748,67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75 748,67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 xml:space="preserve">Безвозмездные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неденежные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поступления капитального характера от сектора государственного управления и организаций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государствееного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8 651,00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8 651,00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proofErr w:type="gram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Безвозмездные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неденежные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поступления капитального характера от организаций (за исключением сектора государственного управления и организаций государственного сектора\0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249 075,60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249 075,60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proofErr w:type="gramStart"/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Расходы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5 040 439,73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58 168 391,20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978 092,27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64 186 923,20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4 970 073,73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40 889 472,25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741 182,08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46 600 728,06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3 189 235,22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31 461 063,49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570 645,36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35 220 944,07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69 015,00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69 015,00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1 037 997,82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9 428 408,76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170 536,72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10 636 943,30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673 825,69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673 825,69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8 420 920,73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155 955,26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8 576 875,99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42 451,20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42 470,95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6 166 074,34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155 935,51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6 322 009,85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865 337,57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865 337,57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1 347 057,62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1 347 057,62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137 608,62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137 608,62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2 139,06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2 139,06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135 469,56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135 469,56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4 260 593,39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4 278 685,39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3 668 875,51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3 668 875,51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591 717,88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609 209,88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4 459 796,21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80 354,93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4 593 025,14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4 459 796,21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24 307,79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4 484 104,00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0,04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830,38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55 000,00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53 090,72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Чистый операционный результат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-14 581,40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-2 558 176,76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136 198,32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-2 436 559,84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-14 581,40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-2 558 176,76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136 198,32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-2 436 559,84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Операции с нефинансовыми активами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320+стр. 330+стр. 350+стр. 360+стр. 370+стр. 380+стр. 390+стр.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-1 896 804,18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-1 892 804,18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-1 830 954,91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-1 830 954,91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1 837 920,60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249 075,60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2 086 996,20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3 668 875,51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249 075,60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3 917 951,11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Чистое поступление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непроизведенных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увеличение стоимости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непроизведенных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уменьшение стоимости </w:t>
            </w:r>
            <w:proofErr w:type="spellStart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непроизведенных</w:t>
            </w:r>
            <w:proofErr w:type="spellEnd"/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-64 782,61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-64 782,61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526 935,27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545 027,27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17 492,00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591 717,88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609 809,88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43 378 955,43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745 064,50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44 124 019,93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43 378 955,43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745 064,50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44 124 019,93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-1 066,66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2 933,34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Операции с финансовыми активами и обязательствами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(стр.420 – стр.510)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-14 581,40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-661 372,58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132 198,32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-543 755,66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Операции с финансовыми активами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267 028,58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1 308 150,02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-112 278,28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1 462 900,32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26 353,98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-898 338,24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-99 207,71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-971 191,97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5 146 794,81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55 571 266,66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884 634,39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61 602 695,86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5 120 440,83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56 469 604,90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983 842,10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62 573 887,83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240 674,60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2 206 488,26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-13 070,57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2 434 092,29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6 265 393,03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60 429 565,83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870 345,99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67 565 304,85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6 024 718,43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58 223 077,57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883 416,56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65 131 212,56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b/>
                <w:bCs/>
                <w:color w:val="4A4A4A"/>
                <w:sz w:val="18"/>
              </w:rPr>
              <w:t>Операции с обязательствами </w:t>
            </w: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281 609,98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1 969 522,60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-244 476,60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2 006 655,98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23 473,98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275 993,88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-244 476,60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54 991,26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4 899 226,22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60 982 417,32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1 057 109,59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66 938 753,13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4 875 752,24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60 706 423,44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1 301 586,19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66 883 761,87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258 136,00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2 279 504,00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2 537 640,00</w:t>
            </w:r>
          </w:p>
        </w:tc>
      </w:tr>
      <w:tr w:rsidR="00E50724" w:rsidRPr="00E50724" w:rsidTr="00E5072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-585 975,28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0724" w:rsidRPr="00E50724" w:rsidRDefault="00E50724" w:rsidP="00E50724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50724">
              <w:rPr>
                <w:rFonts w:ascii="inherit" w:hAnsi="inherit" w:cs="Arial"/>
                <w:color w:val="4A4A4A"/>
                <w:sz w:val="18"/>
                <w:szCs w:val="18"/>
              </w:rPr>
              <w:t>-585 975,28</w:t>
            </w:r>
          </w:p>
        </w:tc>
      </w:tr>
    </w:tbl>
    <w:p w:rsidR="005D25D8" w:rsidRDefault="005D25D8"/>
    <w:sectPr w:rsidR="005D25D8" w:rsidSect="0037734E">
      <w:pgSz w:w="11906" w:h="16838" w:code="9"/>
      <w:pgMar w:top="72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724"/>
    <w:rsid w:val="0037734E"/>
    <w:rsid w:val="003B3868"/>
    <w:rsid w:val="005D25D8"/>
    <w:rsid w:val="00A71F8F"/>
    <w:rsid w:val="00BF04A3"/>
    <w:rsid w:val="00C720C4"/>
    <w:rsid w:val="00D262F3"/>
    <w:rsid w:val="00E5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E50724"/>
    <w:rPr>
      <w:b/>
      <w:bCs/>
    </w:rPr>
  </w:style>
  <w:style w:type="character" w:customStyle="1" w:styleId="date-underscore">
    <w:name w:val="date-underscore"/>
    <w:basedOn w:val="a0"/>
    <w:rsid w:val="00E50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Мурсяев</dc:creator>
  <cp:lastModifiedBy>Мурсяев</cp:lastModifiedBy>
  <cp:revision>2</cp:revision>
  <dcterms:created xsi:type="dcterms:W3CDTF">2023-03-21T13:06:00Z</dcterms:created>
  <dcterms:modified xsi:type="dcterms:W3CDTF">2023-03-21T13:06:00Z</dcterms:modified>
</cp:coreProperties>
</file>